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29.png" ContentType="image/png"/>
  <Override PartName="/word/media/rId21.png" ContentType="image/png"/>
  <Override PartName="/word/media/rId25.png" ContentType="image/png"/>
  <Override PartName="/word/media/rId33.png" ContentType="image/png"/>
  <Override PartName="/word/media/rId41.png" ContentType="image/png"/>
  <Override PartName="/word/media/rId45.png" ContentType="image/png"/>
  <Override PartName="/word/media/rId4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72" w:name="supplementary-material"/>
    <w:p>
      <w:pPr>
        <w:pStyle w:val="Heading1"/>
      </w:pPr>
      <w:r>
        <w:t xml:space="preserve">Supplementary material</w:t>
      </w:r>
    </w:p>
    <w:p>
      <w:pPr>
        <w:pStyle w:val="CaptionedFigure"/>
      </w:pPr>
      <w:r>
        <w:drawing>
          <wp:inline>
            <wp:extent cx="5943600" cy="7641771"/>
            <wp:effectExtent b="0" l="0" r="0" t="0"/>
            <wp:docPr descr="Figure 1: Growth curves (tracked as OD680) vs. elapsed time (h). Growth curves were estimated over 5-min intervals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2" name="Picture"/>
            <a:graphic>
              <a:graphicData uri="http://schemas.openxmlformats.org/drawingml/2006/picture">
                <pic:pic>
                  <pic:nvPicPr>
                    <pic:cNvPr descr="../Output/Figures/SFig_GrowthCurve_OD680.png" id="23" name="Picture"/>
                    <pic:cNvPicPr>
                      <a:picLocks noChangeArrowheads="1" noChangeAspect="1"/>
                    </pic:cNvPicPr>
                  </pic:nvPicPr>
                  <pic:blipFill>
                    <a:blip r:embed="rId2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24" w:name="fig:GrowthCurveOD680"/>
      <w:bookmarkEnd w:id="24"/>
      <w:r>
        <w:t xml:space="preserve">Figure 1:</w:t>
      </w:r>
      <w:r>
        <w:t xml:space="preserve"> </w:t>
      </w:r>
      <w:r>
        <w:rPr>
          <w:bCs/>
          <w:b/>
        </w:rPr>
        <w:t xml:space="preserve">Growth curves (tracked as OD</w:t>
      </w:r>
      <w:r>
        <w:rPr>
          <w:vertAlign w:val="subscript"/>
          <w:bCs/>
          <w:b/>
        </w:rPr>
        <w:t xml:space="preserve">680</w:t>
      </w:r>
      <w:r>
        <w:rPr>
          <w:bCs/>
          <w:b/>
        </w:rPr>
        <w:t xml:space="preserve">)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2: Growth curves (tracked as OD720) vs. elapsed time (h). Growth curves were estimated over 5-min intervals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6" name="Picture"/>
            <a:graphic>
              <a:graphicData uri="http://schemas.openxmlformats.org/drawingml/2006/picture">
                <pic:pic>
                  <pic:nvPicPr>
                    <pic:cNvPr descr="../Output/Figures/SFig_GrowthCurve_OD720.png" id="27" name="Picture"/>
                    <pic:cNvPicPr>
                      <a:picLocks noChangeArrowheads="1" noChangeAspect="1"/>
                    </pic:cNvPicPr>
                  </pic:nvPicPr>
                  <pic:blipFill>
                    <a:blip r:embed="rId2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28" w:name="fig:GrowthCurveOD720"/>
      <w:bookmarkEnd w:id="28"/>
      <w:r>
        <w:t xml:space="preserve">Figure 2:</w:t>
      </w:r>
      <w:r>
        <w:t xml:space="preserve"> </w:t>
      </w:r>
      <w:r>
        <w:rPr>
          <w:bCs/>
          <w:b/>
        </w:rPr>
        <w:t xml:space="preserve">Growth curves (tracked as OD</w:t>
      </w:r>
      <w:r>
        <w:rPr>
          <w:vertAlign w:val="subscript"/>
          <w:bCs/>
          <w:b/>
        </w:rPr>
        <w:t xml:space="preserve">720</w:t>
      </w:r>
      <w:r>
        <w:rPr>
          <w:bCs/>
          <w:b/>
        </w:rPr>
        <w:t xml:space="preserve">)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3: Growth curves (tracked as DeltaOD) vs. elapsed time (h). Growth curves were estimated over 5-min intervals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30" name="Picture"/>
            <a:graphic>
              <a:graphicData uri="http://schemas.openxmlformats.org/drawingml/2006/picture">
                <pic:pic>
                  <pic:nvPicPr>
                    <pic:cNvPr descr="../Output/Figures/SFig_GrowthCurve_DeltaOD.png" id="31" name="Picture"/>
                    <pic:cNvPicPr>
                      <a:picLocks noChangeArrowheads="1" noChangeAspect="1"/>
                    </pic:cNvPicPr>
                  </pic:nvPicPr>
                  <pic:blipFill>
                    <a:blip r:embed="rId2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2" w:name="fig:GrowthCurveDeltaOD"/>
      <w:bookmarkEnd w:id="32"/>
      <w:r>
        <w:t xml:space="preserve">Figure 3:</w:t>
      </w:r>
      <w:r>
        <w:t xml:space="preserve"> </w:t>
      </w:r>
      <w:r>
        <w:rPr>
          <w:bCs/>
          <w:b/>
        </w:rPr>
        <w:t xml:space="preserve">Growth curves (tracked as DeltaOD)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4: Chlorophyll specific exponential growth rates (d−1) vs. cumulative diel photon dose (µmol photons m−2d−1). Growth rates (+/- SE falling within symbols) were estimated from logistic fits of chlorophyll proxy OD680-OD720 vs. elapsed time (Fig. S1),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significantly different (ANOVA, p &lt; 0.05) from the fit of pooled data." title="" id="34" name="Picture"/>
            <a:graphic>
              <a:graphicData uri="http://schemas.openxmlformats.org/drawingml/2006/picture">
                <pic:pic>
                  <pic:nvPicPr>
                    <pic:cNvPr descr="../Output/Figures/SFig_GrowthRate_Light.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GrowthRateLight"/>
      <w:bookmarkEnd w:id="36"/>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S1),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5: Hours of photoperiod to reach maximum daily growth (h) vs. photoperiod (h). Time-resolved growth was estimated over hourly intervals for two PhycoCyanin(PC)-rich cultures (056, 077) and two PhycoErythrin(PE)-rich cultures (048, 127) of Synechococcus sp. originating from the Baltic Sea. Cultures were grown at 30 (dark gray), 90 (light gray), 180 (purple), 300 (red), or 900 (yellow) peak PAR µmol photons m−2s−1 (µE); and photoperiods of 8 (square), 12 (circle), or 16 (triangle) h. The diagonal dashed lines indicate the time (h) to reach the maximum light during the day. Figure presents data (small symbols) and means (big symbols) from exponential phase of growth, or from pre-stationary phase of growth, n = 0-5." title="" id="38" name="Picture"/>
            <a:graphic>
              <a:graphicData uri="http://schemas.openxmlformats.org/drawingml/2006/picture">
                <pic:pic>
                  <pic:nvPicPr>
                    <pic:cNvPr descr="../Output/Figures/SFig_AccLen.png" id="39" name="Picture"/>
                    <pic:cNvPicPr>
                      <a:picLocks noChangeArrowheads="1" noChangeAspect="1"/>
                    </pic:cNvPicPr>
                  </pic:nvPicPr>
                  <pic:blipFill>
                    <a:blip r:embed="rId3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0" w:name="fig:AccLen"/>
      <w:bookmarkEnd w:id="40"/>
      <w:r>
        <w:t xml:space="preserve">Figure 5:</w:t>
      </w:r>
      <w:r>
        <w:t xml:space="preserve"> </w:t>
      </w:r>
      <w:r>
        <w:rPr>
          <w:bCs/>
          <w:b/>
        </w:rPr>
        <w:t xml:space="preserve">Hours of photoperiod to reach maximum daily growth (h) vs. photoperiod (h).</w:t>
      </w:r>
      <w:r>
        <w:t xml:space="preserve"> </w:t>
      </w:r>
      <w:r>
        <w:t xml:space="preserve">Time-resolved growth was estimated over hourly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or 16 (triangle) h. The diagonal dashed lines indicate the time (h) to reach the maximum light during the day. Figure presents data (small symbols) and means (big symbols) from exponential phase of growth, or from pre-stationary phase of growth,</w:t>
      </w:r>
      <w:r>
        <w:t xml:space="preserve"> </w:t>
      </w:r>
      <w:r>
        <w:rPr>
          <w:iCs/>
          <w:i/>
        </w:rPr>
        <w:t xml:space="preserve">n</w:t>
      </w:r>
      <w:r>
        <w:t xml:space="preserve"> </w:t>
      </w:r>
      <w:r>
        <w:t xml:space="preserve">= 0-5.</w:t>
      </w:r>
    </w:p>
    <w:p>
      <w:pPr>
        <w:pStyle w:val="CaptionedFigure"/>
      </w:pPr>
      <w:r>
        <w:drawing>
          <wp:inline>
            <wp:extent cx="5943600" cy="7641771"/>
            <wp:effectExtent b="0" l="0" r="0" t="0"/>
            <wp:docPr descr="Figure 6: Changes of total Phyco/Chl a ratio vs. cumulative diel photon dose (µmol photons m−2d−1). Total Phyco/Chl a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Welch’s t-test; p &lt; 0.05)." title="" id="42" name="Picture"/>
            <a:graphic>
              <a:graphicData uri="http://schemas.openxmlformats.org/drawingml/2006/picture">
                <pic:pic>
                  <pic:nvPicPr>
                    <pic:cNvPr descr="../Output/Figures/SFig_PhycoChlaRatio.png" id="43" name="Picture"/>
                    <pic:cNvPicPr>
                      <a:picLocks noChangeArrowheads="1" noChangeAspect="1"/>
                    </pic:cNvPicPr>
                  </pic:nvPicPr>
                  <pic:blipFill>
                    <a:blip r:embed="rId4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4" w:name="fig:PhycoChlaRatio"/>
      <w:bookmarkEnd w:id="44"/>
      <w:r>
        <w:t xml:space="preserve">Figure 6:</w:t>
      </w:r>
      <w:r>
        <w:t xml:space="preserve"> </w:t>
      </w:r>
      <w:r>
        <w:rPr>
          <w:bCs/>
          <w:b/>
        </w:rPr>
        <w:t xml:space="preserve">Changes of total Phyco/Chl</w:t>
      </w:r>
      <w:r>
        <w:rPr>
          <w:bCs/>
          <w:b/>
        </w:rPr>
        <w:t xml:space="preserve"> </w:t>
      </w:r>
      <w:r>
        <w:rPr>
          <w:iCs/>
          <w:i/>
          <w:bCs/>
          <w:b/>
        </w:rPr>
        <w:t xml:space="preserve">a</w:t>
      </w:r>
      <w:r>
        <w:rPr>
          <w:bCs/>
          <w:b/>
        </w:rPr>
        <w:t xml:space="preserve"> </w:t>
      </w:r>
      <w:r>
        <w:rPr>
          <w:bCs/>
          <w:b/>
        </w:rPr>
        <w:t xml:space="preserve">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Total Phyco/Chl</w:t>
      </w:r>
      <w:r>
        <w:t xml:space="preserve"> </w:t>
      </w:r>
      <w:r>
        <w:rPr>
          <w:iCs/>
          <w:i/>
        </w:rPr>
        <w:t xml:space="preserve">a</w:t>
      </w:r>
      <w:r>
        <w:t xml:space="preserve"> </w:t>
      </w:r>
      <w:r>
        <w:t xml:space="preserve">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(Welch’s t-test;</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7: Effective absorption cross section of PSII (σPSII‘; nm2 quanta-1) measured under diel peak PAR growth light under Ex445 nm (blue) excitation vs. cumulative diel photon dose (µmol photons m−2d−1).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 p &lt; 0.05)." title="" id="46" name="Picture"/>
            <a:graphic>
              <a:graphicData uri="http://schemas.openxmlformats.org/drawingml/2006/picture">
                <pic:pic>
                  <pic:nvPicPr>
                    <pic:cNvPr descr="../Output/Figures/SFig_Sigma445.png" id="47" name="Picture"/>
                    <pic:cNvPicPr>
                      <a:picLocks noChangeArrowheads="1" noChangeAspect="1"/>
                    </pic:cNvPicPr>
                  </pic:nvPicPr>
                  <pic:blipFill>
                    <a:blip r:embed="rId4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8" w:name="fig:Sigma445"/>
      <w:bookmarkEnd w:id="48"/>
      <w:r>
        <w:t xml:space="preserve">Figure 7:</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Ex445 nm (blue) excitation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8: Changes of effective absorption cross section of PSII (σPSII‘; nm2 quanta-1) measured under diel peak PAR growth light under Ex445 nm (blu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 p &lt; 0.05)." title="" id="50" name="Picture"/>
            <a:graphic>
              <a:graphicData uri="http://schemas.openxmlformats.org/drawingml/2006/picture">
                <pic:pic>
                  <pic:nvPicPr>
                    <pic:cNvPr descr="../Output/Figures/SFig_SigmaPig445.png" id="51" name="Picture"/>
                    <pic:cNvPicPr>
                      <a:picLocks noChangeArrowheads="1" noChangeAspect="1"/>
                    </pic:cNvPicPr>
                  </pic:nvPicPr>
                  <pic:blipFill>
                    <a:blip r:embed="rId4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2" w:name="fig:SigmaPig445"/>
      <w:bookmarkEnd w:id="52"/>
      <w:r>
        <w:t xml:space="preserve">Figure 8:</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Ex445 nm (blue) excitation vs. total Phyco/Chl</w:t>
      </w:r>
      <w:r>
        <w:rPr>
          <w:bCs/>
          <w:b/>
        </w:rPr>
        <w:t xml:space="preserve"> </w:t>
      </w:r>
      <w:r>
        <w:rPr>
          <w:iCs/>
          <w:i/>
          <w:bCs/>
          <w:b/>
        </w:rPr>
        <w:t xml:space="preserve">a</w:t>
      </w:r>
      <w:r>
        <w:rPr>
          <w:bCs/>
          <w:b/>
        </w:rPr>
        <w:t xml:space="preserve"> </w:t>
      </w:r>
      <w:r>
        <w:rPr>
          <w:bCs/>
          <w:b/>
        </w:rPr>
        <w:t xml:space="preserve">ratio.</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w:t>
      </w:r>
      <w:r>
        <w:t xml:space="preserve"> </w:t>
      </w:r>
      <w:r>
        <w:rPr>
          <w:iCs/>
          <w:i/>
        </w:rPr>
        <w:t xml:space="preserve">p</w:t>
      </w:r>
      <w:r>
        <w:t xml:space="preserve"> </w:t>
      </w:r>
      <w:r>
        <w:t xml:space="preserve">&lt; 0.05).</w:t>
      </w:r>
    </w:p>
    <w:p>
      <w:pPr>
        <w:pStyle w:val="TableCaption"/>
      </w:pPr>
      <w:bookmarkStart w:id="53" w:name="tab:unnamed-chunk-1"/>
      <w:bookmarkEnd w:id="53"/>
      <w:r>
        <w:t xml:space="preserve">Table 1:</w:t>
      </w:r>
      <w:r>
        <w:t xml:space="preserve"> </w:t>
      </w:r>
      <w:r>
        <w:t xml:space="preserve">Linear regression, coefficient of determination (R square), Pearson correlation coefficients (R), and p-value used to calculate the number of cells (N mL-1) of two PhycoCyanin(PC)-rich cultures (056, 077) and two PhycoErythrin(PE)-rich cultures (048, 127) (Culture Collection of Baltic Algae) of Synechococcus sp. based on optical density (OD)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771"/>
        <w:gridCol w:w="330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(OD680*160489)+34573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(OD680*204581)+38483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(OD680*450190)+14516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(OD680*614649)+1446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(OD720*218497)+34902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(OD720*264482)+38766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(OD720*600583)+14873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(OD720*803505)+2786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4" w:name="tab:unnamed-chunk-2"/>
      <w:bookmarkEnd w:id="54"/>
      <w:r>
        <w:t xml:space="preserve">Table 2:</w:t>
      </w:r>
      <w:r>
        <w:t xml:space="preserve"> </w:t>
      </w:r>
      <w:r>
        <w:t xml:space="preserve">Linear regression, coefficient of determination (R square), Pearson correlation coefficients (R), and p-value used to calculate the pigment content (µg mL-1) of two PhycoCyanin(PC)-rich cultures (056, 077) and two PhycoErythrin(PE)-rich cultures (048, 127) (Culture Collection of Baltic Algae) of Synechococcus sp. based on absorbance (Abs)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5" w:name="tab:unnamed-chunk-3"/>
      <w:bookmarkEnd w:id="55"/>
      <w:r>
        <w:t xml:space="preserve">Table 3:</w:t>
      </w:r>
      <w:r>
        <w:t xml:space="preserve"> </w:t>
      </w:r>
      <w:r>
        <w:t xml:space="preserve">Three-way factorial ANOVA of chlorophyll specific exponential growth rate (Source_of_variation), estimated from logistic fits of chlorophyll proxy OD680-OD720 vs. elapsed time,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68"/>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3.276e+30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8.367e+30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1.593e+29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56" w:name="tab:unnamed-chunk-4"/>
      <w:bookmarkEnd w:id="56"/>
      <w:r>
        <w:t xml:space="preserve">Table 4:</w:t>
      </w:r>
      <w:r>
        <w:t xml:space="preserve"> </w:t>
      </w:r>
      <w:r>
        <w:t xml:space="preserve">One-way ANOVA of a three parameter model (Harrison and Platt, 1986) (Fit_model) from pooled data (All) and data fit across different photoperiods (8, 12, 16, or 24) from chlorophyll specific exponential growth rate,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2.072e+03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9.767e+00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6.487e+00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1.467e+04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1.129e+02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7" w:name="tab:unnamed-chunk-5"/>
      <w:bookmarkEnd w:id="57"/>
      <w:r>
        <w:t xml:space="preserve">Table 5:</w:t>
      </w:r>
      <w:r>
        <w:t xml:space="preserve"> </w:t>
      </w:r>
      <w:r>
        <w:t xml:space="preserve">One-way ANOVA of a three parameter model (Harrison and Platt, 1986) (Fit_model) from pooled data (All) and data fit across different peak PAR (30, 90, 180, 300, 600 together with 900) from chlorophyll specific exponential growth rate,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2.072e+03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4.490e+00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9.767e+00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0.706</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6.487e+00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0.151</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1.467e+04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3.938e+00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r>
    </w:tbl>
    <w:p>
      <w:pPr>
        <w:pStyle w:val="TableCaption"/>
      </w:pPr>
      <w:bookmarkStart w:id="58" w:name="tab:unnamed-chunk-6"/>
      <w:bookmarkEnd w:id="58"/>
      <w:r>
        <w:t xml:space="preserve">Table 6:</w:t>
      </w:r>
      <w:r>
        <w:t xml:space="preserve"> </w:t>
      </w:r>
      <w:r>
        <w:t xml:space="preserve">Three-way factorial ANOVA of index of diel growth symmetry; AccLen/DecLen ratio (Source_of_variation), for two PhycoCyanin(PC)-rich cultures (056, 077) and two PhycoErythrin(PE)-rich cultures (048, 127) (Culture Collection of Baltic Algae) of Synechococcus sp., grown at 30, 90, 180, 300, or 900 peak PAR µmol photons m−2s−1; and photoperiods of 8, 12, or 16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68.718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5.390e+01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3.100e+00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8.154e-01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0.702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59" w:name="tab:unnamed-chunk-7"/>
      <w:bookmarkEnd w:id="59"/>
      <w:r>
        <w:t xml:space="preserve">Table 7:</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index of diel growth symmetry; AccLen/DecLen ratio, for two PhycoCyanin(PC)-rich cultures (056, 077) and two PhycoErythrin(PE)-rich cultures (048, 127) (Culture Collection of Baltic Algae) of Synechococcus sp., grown at 30, 90, 180, 300, or 900 peak PAR µmol photons m−2s−1; and photoperiods of 8, 12, or 16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45.134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9.146e-01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0.593</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-1.792e+00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7.747e+00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1.216e+00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0.222</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0.306</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-8.588e-01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6.346e-01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6.879e+00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2.171e+01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0" w:name="tab:unnamed-chunk-8"/>
      <w:bookmarkEnd w:id="60"/>
      <w:r>
        <w:t xml:space="preserve">Table 8:</w:t>
      </w:r>
      <w:r>
        <w:t xml:space="preserve"> </w:t>
      </w:r>
      <w:r>
        <w:t xml:space="preserve">Three-way factorial ANOVA of PUR/PAR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4.157e+01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1.175e+00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0.305</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3.723e+00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1" w:name="tab:unnamed-chunk-9"/>
      <w:bookmarkEnd w:id="61"/>
      <w:r>
        <w:t xml:space="preserve">Table 9:</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PUR/PAR ratio,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2.813e+01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5.386e+00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0.168</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0.195</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1.681e+01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4.128e+01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r>
    </w:tbl>
    <w:p>
      <w:pPr>
        <w:pStyle w:val="TableCaption"/>
      </w:pPr>
      <w:bookmarkStart w:id="62" w:name="tab:unnamed-chunk-10"/>
      <w:bookmarkEnd w:id="62"/>
      <w:r>
        <w:t xml:space="preserve">Table 10:</w:t>
      </w:r>
      <w:r>
        <w:t xml:space="preserve"> </w:t>
      </w:r>
      <w:r>
        <w:t xml:space="preserve">Three-way factorial ANOVA of total Phyco/Chl a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262.901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2.885e+01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8.332e+01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0.098</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27.834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0.451</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0.166</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93.662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3" w:name="tab:unnamed-chunk-11"/>
      <w:bookmarkEnd w:id="63"/>
      <w:r>
        <w:t xml:space="preserve">Table 11:</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total Phyco/Chl a ratio,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38.089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1.531e+01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0.088</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9.255e+00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9.531e+00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8.820e+00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4" w:name="tab:unnamed-chunk-12"/>
      <w:bookmarkEnd w:id="64"/>
      <w:r>
        <w:t xml:space="preserve">Table 12:</w:t>
      </w:r>
      <w:r>
        <w:t xml:space="preserve"> </w:t>
      </w:r>
      <w:r>
        <w:t xml:space="preserve">Three-way factorial ANOVA of effective absorption cross section of PSII (σPSII’; nm2 quanta-1) measured under diel peak PAR growth light under Ex445 nm (blue) excitation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2.140e+02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1.894e+03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4.361e+01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5" w:name="tab:unnamed-chunk-13"/>
      <w:bookmarkEnd w:id="65"/>
      <w:r>
        <w:t xml:space="preserve">Table 13:</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Ex445 nm (blue) excitation,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78"/>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-1.451e-09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1.058e-09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0.395</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-7.373e-10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6.274e-10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1.336e-09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1.862e-09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-7.077e-10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2.487e-09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1.643e-09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0.132</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6.391e-09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9.166e-10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9.930e-09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1.695e-09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5.056e-09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1.621e-09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TableCaption"/>
      </w:pPr>
      <w:bookmarkStart w:id="66" w:name="tab:unnamed-chunk-14"/>
      <w:bookmarkEnd w:id="66"/>
      <w:r>
        <w:t xml:space="preserve">Table 14:</w:t>
      </w:r>
      <w:r>
        <w:t xml:space="preserve"> </w:t>
      </w:r>
      <w:r>
        <w:t xml:space="preserve">Three-way factorial ANOVA of effective absorption cross section of PSII (σPSII’; nm2 quanta-1) measured under diel peak PAR growth light under Ex590 nm (orange) excitation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300"/>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1,101.207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73.414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1.351e+02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3.259e+02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148.590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2.734e+02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5.874e+00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2.707e+00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242.409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7" w:name="tab:unnamed-chunk-15"/>
      <w:bookmarkEnd w:id="67"/>
      <w:r>
        <w:t xml:space="preserve">Table 15:</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 nm (orange) excitation,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9.926e-01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0.469</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8.037e+00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0.995</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2.921e+00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bl>
    <w:p>
      <w:pPr>
        <w:pStyle w:val="TableCaption"/>
      </w:pPr>
      <w:bookmarkStart w:id="68" w:name="tab:unnamed-chunk-16"/>
      <w:bookmarkEnd w:id="68"/>
      <w:r>
        <w:t xml:space="preserve">Table 16:</w:t>
      </w:r>
      <w:r>
        <w:t xml:space="preserve"> </w:t>
      </w:r>
      <w:r>
        <w:t xml:space="preserve">Three-way factorial ANOVA of effective absorption cross section of PSII (σPSII’; nm2 quanta-1) measured under diel peak PAR growth light under Ex445 nm (blue) excitation in relation to the total Phyco/Chl a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856"/>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38.311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38.311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1.340e+03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1.443e+03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2.288e+01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7.119e+00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61.512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9" w:name="tab:unnamed-chunk-17"/>
      <w:bookmarkEnd w:id="69"/>
      <w:r>
        <w:t xml:space="preserve">Table 17:</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Ex445 nm (blue)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0.711</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0.774</w:t>
            </w:r>
          </w:p>
        </w:tc>
      </w:tr>
    </w:tbl>
    <w:p>
      <w:pPr>
        <w:pStyle w:val="TableCaption"/>
      </w:pPr>
      <w:bookmarkStart w:id="70" w:name="tab:unnamed-chunk-18"/>
      <w:bookmarkEnd w:id="70"/>
      <w:r>
        <w:t xml:space="preserve">Table 18:</w:t>
      </w:r>
      <w:r>
        <w:t xml:space="preserve"> </w:t>
      </w:r>
      <w:r>
        <w:t xml:space="preserve">Three-way factorial ANOVA of effective absorption cross section of PSII (σPSII’; nm2 quanta-1) measured under diel peak PAR growth light under Ex590 nm (orange)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856"/>
        <w:gridCol w:w="1300"/>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2,490.159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2,490.159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1.257e+03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5.161e+02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716.953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238.984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1.207e+02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190.795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182.562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3.073e+01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83"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3,132.964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1" w:name="tab:unnamed-chunk-19"/>
      <w:bookmarkEnd w:id="71"/>
      <w:r>
        <w:t xml:space="preserve">Table 19:</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 nm (orange)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0.101</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0.495</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0.487</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0.418</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0.244</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0.262</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0.967</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0.301</w:t>
            </w:r>
          </w:p>
        </w:tc>
      </w:tr>
    </w:tbl>
    <w:bookmarkEnd w:id="72"/>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29" Target="media/rId29.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33" Target="media/rId33.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2024-02-07T03:44:39Z</dcterms:created>
  <dcterms:modified xsi:type="dcterms:W3CDTF">2024-02-07T03:44:39Z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